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433E6" w:rsidRPr="004433E6" w14:paraId="56DFC7F9" w14:textId="77777777" w:rsidTr="004433E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8"/>
            </w:tblGrid>
            <w:tr w:rsidR="004433E6" w:rsidRPr="004433E6" w14:paraId="79E42879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DB8E98A" w14:textId="61D27292" w:rsidR="004433E6" w:rsidRPr="004433E6" w:rsidRDefault="004433E6" w:rsidP="004433E6">
                  <w:r w:rsidRPr="004433E6">
                    <w:drawing>
                      <wp:inline distT="0" distB="0" distL="0" distR="0" wp14:anchorId="3C92033A" wp14:editId="01602E07">
                        <wp:extent cx="1019175" cy="990600"/>
                        <wp:effectExtent l="0" t="0" r="9525" b="0"/>
                        <wp:docPr id="4" name="Picture 4" descr="Isle of W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sle of W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3E6" w:rsidRPr="004433E6" w14:paraId="1175E017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F1A5E4" w14:textId="77777777" w:rsidR="004433E6" w:rsidRPr="004433E6" w:rsidRDefault="004433E6" w:rsidP="004433E6">
                  <w:r w:rsidRPr="004433E6">
                    <w:t>04 December 2020, 13:58</w:t>
                  </w:r>
                </w:p>
              </w:tc>
            </w:tr>
            <w:tr w:rsidR="004433E6" w:rsidRPr="004433E6" w14:paraId="342F8EA0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2229809" w14:textId="77777777" w:rsidR="004433E6" w:rsidRPr="004433E6" w:rsidRDefault="004433E6" w:rsidP="004433E6">
                  <w:hyperlink r:id="rId5" w:tgtFrame="_blank" w:history="1">
                    <w:r w:rsidRPr="004433E6">
                      <w:rPr>
                        <w:rStyle w:val="Hyperlink"/>
                      </w:rPr>
                      <w:t>Christmas and new year waste and recycling collections for 2020</w:t>
                    </w:r>
                  </w:hyperlink>
                </w:p>
              </w:tc>
            </w:tr>
            <w:tr w:rsidR="004433E6" w:rsidRPr="004433E6" w14:paraId="388A2D61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1F7F659F" w14:textId="77777777" w:rsidR="004433E6" w:rsidRPr="004433E6" w:rsidRDefault="004433E6" w:rsidP="004433E6">
                  <w:r w:rsidRPr="004433E6">
                    <w:t>Islanders are being advised that waste, recycling and garden subscription collections are changing over the Christmas and new year period — although many households will only see one week of change to their usual waste collection day.</w:t>
                  </w:r>
                </w:p>
                <w:p w14:paraId="756A41E6" w14:textId="77777777" w:rsidR="004433E6" w:rsidRPr="004433E6" w:rsidRDefault="004433E6" w:rsidP="004433E6">
                  <w:r w:rsidRPr="004433E6">
                    <w:t>Between Monday 21 and Friday 25 December, all households will have their bins collected on a different day than normal.</w:t>
                  </w:r>
                </w:p>
                <w:p w14:paraId="086F1D27" w14:textId="77777777" w:rsidR="004433E6" w:rsidRPr="004433E6" w:rsidRDefault="004433E6" w:rsidP="004433E6">
                  <w:r w:rsidRPr="004433E6">
                    <w:t>For most people, this will simply be a day earlier. However, collections due on Monday 21 December will instead be on Saturday 19 December.</w:t>
                  </w:r>
                </w:p>
                <w:p w14:paraId="29BE19BE" w14:textId="77777777" w:rsidR="004433E6" w:rsidRPr="004433E6" w:rsidRDefault="004433E6" w:rsidP="004433E6">
                  <w:r w:rsidRPr="004433E6">
                    <w:t>Collections then return to normal the following week other than for those homes with collections due on Friday 1 January, with waste or recycling collections that day being completed on Saturday 2 January instead.</w:t>
                  </w:r>
                </w:p>
                <w:p w14:paraId="7CEE46D1" w14:textId="77777777" w:rsidR="004433E6" w:rsidRPr="004433E6" w:rsidRDefault="004433E6" w:rsidP="004433E6">
                  <w:r w:rsidRPr="004433E6">
                    <w:t>All collections return to normal the following week from Monday 4 January 2021.</w:t>
                  </w:r>
                </w:p>
                <w:p w14:paraId="5C1FB3FD" w14:textId="77777777" w:rsidR="004433E6" w:rsidRPr="004433E6" w:rsidRDefault="004433E6" w:rsidP="004433E6">
                  <w:r w:rsidRPr="004433E6">
                    <w:t>Garden waste collections will also follow the same amended timetable. If you have a garden waste subscription you can pop your real Christmas tree out alongside your garden bin for recycling.</w:t>
                  </w:r>
                </w:p>
                <w:tbl>
                  <w:tblPr>
                    <w:tblW w:w="93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  <w:gridCol w:w="4680"/>
                  </w:tblGrid>
                  <w:tr w:rsidR="004433E6" w:rsidRPr="004433E6" w14:paraId="30146D4A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4748D8B0" w14:textId="77777777" w:rsidR="004433E6" w:rsidRPr="004433E6" w:rsidRDefault="004433E6" w:rsidP="004433E6">
                        <w:r w:rsidRPr="004433E6">
                          <w:rPr>
                            <w:b/>
                            <w:bCs/>
                          </w:rPr>
                          <w:t>Waste/recycling or garden waste due to be collected on: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50ADA15E" w14:textId="77777777" w:rsidR="004433E6" w:rsidRPr="004433E6" w:rsidRDefault="004433E6" w:rsidP="004433E6">
                        <w:r w:rsidRPr="004433E6">
                          <w:rPr>
                            <w:b/>
                            <w:bCs/>
                          </w:rPr>
                          <w:t>Will be collected on: </w:t>
                        </w:r>
                      </w:p>
                    </w:tc>
                  </w:tr>
                  <w:tr w:rsidR="004433E6" w:rsidRPr="004433E6" w14:paraId="79714559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1AB17711" w14:textId="77777777" w:rsidR="004433E6" w:rsidRPr="004433E6" w:rsidRDefault="004433E6" w:rsidP="004433E6">
                        <w:r w:rsidRPr="004433E6">
                          <w:t>Monday 21 December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25319015" w14:textId="77777777" w:rsidR="004433E6" w:rsidRPr="004433E6" w:rsidRDefault="004433E6" w:rsidP="004433E6">
                        <w:r w:rsidRPr="004433E6">
                          <w:t>Saturday 19 December </w:t>
                        </w:r>
                      </w:p>
                    </w:tc>
                  </w:tr>
                  <w:tr w:rsidR="004433E6" w:rsidRPr="004433E6" w14:paraId="1E261D72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097E71BA" w14:textId="77777777" w:rsidR="004433E6" w:rsidRPr="004433E6" w:rsidRDefault="004433E6" w:rsidP="004433E6">
                        <w:r w:rsidRPr="004433E6">
                          <w:t>Tuesday 22 December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52DDB2ED" w14:textId="77777777" w:rsidR="004433E6" w:rsidRPr="004433E6" w:rsidRDefault="004433E6" w:rsidP="004433E6">
                        <w:r w:rsidRPr="004433E6">
                          <w:t>Monday 21 December </w:t>
                        </w:r>
                      </w:p>
                    </w:tc>
                  </w:tr>
                  <w:tr w:rsidR="004433E6" w:rsidRPr="004433E6" w14:paraId="207CCD7C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37444EBE" w14:textId="77777777" w:rsidR="004433E6" w:rsidRPr="004433E6" w:rsidRDefault="004433E6" w:rsidP="004433E6">
                        <w:r w:rsidRPr="004433E6">
                          <w:t>Wednesday 23 December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528DAEEE" w14:textId="77777777" w:rsidR="004433E6" w:rsidRPr="004433E6" w:rsidRDefault="004433E6" w:rsidP="004433E6">
                        <w:r w:rsidRPr="004433E6">
                          <w:t>Tuesday 22 December </w:t>
                        </w:r>
                      </w:p>
                    </w:tc>
                  </w:tr>
                  <w:tr w:rsidR="004433E6" w:rsidRPr="004433E6" w14:paraId="5FF03B16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6EE3CC89" w14:textId="77777777" w:rsidR="004433E6" w:rsidRPr="004433E6" w:rsidRDefault="004433E6" w:rsidP="004433E6">
                        <w:r w:rsidRPr="004433E6">
                          <w:t>Thursday 24 December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342A9057" w14:textId="77777777" w:rsidR="004433E6" w:rsidRPr="004433E6" w:rsidRDefault="004433E6" w:rsidP="004433E6">
                        <w:r w:rsidRPr="004433E6">
                          <w:t>Wednesday 23</w:t>
                        </w:r>
                        <w:r w:rsidRPr="004433E6">
                          <w:rPr>
                            <w:vertAlign w:val="superscript"/>
                          </w:rPr>
                          <w:t> </w:t>
                        </w:r>
                        <w:r w:rsidRPr="004433E6">
                          <w:t>December </w:t>
                        </w:r>
                      </w:p>
                    </w:tc>
                  </w:tr>
                  <w:tr w:rsidR="004433E6" w:rsidRPr="004433E6" w14:paraId="6D6D4182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1E17A0E6" w14:textId="77777777" w:rsidR="004433E6" w:rsidRPr="004433E6" w:rsidRDefault="004433E6" w:rsidP="004433E6">
                        <w:r w:rsidRPr="004433E6">
                          <w:t>Friday 25 December (Christmas Day)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0B844C3C" w14:textId="77777777" w:rsidR="004433E6" w:rsidRPr="004433E6" w:rsidRDefault="004433E6" w:rsidP="004433E6">
                        <w:r w:rsidRPr="004433E6">
                          <w:t>Thursday 24 December </w:t>
                        </w:r>
                      </w:p>
                    </w:tc>
                  </w:tr>
                  <w:tr w:rsidR="004433E6" w:rsidRPr="004433E6" w14:paraId="50961E01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1376FC69" w14:textId="77777777" w:rsidR="004433E6" w:rsidRPr="004433E6" w:rsidRDefault="004433E6" w:rsidP="004433E6">
                        <w:r w:rsidRPr="004433E6">
                          <w:t>Monday 28</w:t>
                        </w:r>
                        <w:r w:rsidRPr="004433E6">
                          <w:rPr>
                            <w:vertAlign w:val="superscript"/>
                          </w:rPr>
                          <w:t> </w:t>
                        </w:r>
                        <w:r w:rsidRPr="004433E6">
                          <w:t>December 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56BDF613" w14:textId="77777777" w:rsidR="004433E6" w:rsidRPr="004433E6" w:rsidRDefault="004433E6" w:rsidP="004433E6">
                        <w:r w:rsidRPr="004433E6">
                          <w:t>Unchanged </w:t>
                        </w:r>
                      </w:p>
                    </w:tc>
                  </w:tr>
                  <w:tr w:rsidR="004433E6" w:rsidRPr="004433E6" w14:paraId="228D7334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2A09E3CE" w14:textId="77777777" w:rsidR="004433E6" w:rsidRPr="004433E6" w:rsidRDefault="004433E6" w:rsidP="004433E6">
                        <w:r w:rsidRPr="004433E6">
                          <w:lastRenderedPageBreak/>
                          <w:t>Tuesday 29 December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58752EB3" w14:textId="77777777" w:rsidR="004433E6" w:rsidRPr="004433E6" w:rsidRDefault="004433E6" w:rsidP="004433E6">
                        <w:r w:rsidRPr="004433E6">
                          <w:t>Unchanged </w:t>
                        </w:r>
                      </w:p>
                    </w:tc>
                  </w:tr>
                  <w:tr w:rsidR="004433E6" w:rsidRPr="004433E6" w14:paraId="2C23E624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27895421" w14:textId="77777777" w:rsidR="004433E6" w:rsidRPr="004433E6" w:rsidRDefault="004433E6" w:rsidP="004433E6">
                        <w:r w:rsidRPr="004433E6">
                          <w:t>Wednesday 30 December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5A6D3F57" w14:textId="77777777" w:rsidR="004433E6" w:rsidRPr="004433E6" w:rsidRDefault="004433E6" w:rsidP="004433E6">
                        <w:r w:rsidRPr="004433E6">
                          <w:t>Unchanged </w:t>
                        </w:r>
                      </w:p>
                    </w:tc>
                  </w:tr>
                  <w:tr w:rsidR="004433E6" w:rsidRPr="004433E6" w14:paraId="00F7B19A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7840BE61" w14:textId="77777777" w:rsidR="004433E6" w:rsidRPr="004433E6" w:rsidRDefault="004433E6" w:rsidP="004433E6">
                        <w:r w:rsidRPr="004433E6">
                          <w:t>Thursday 31 December 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66D47E21" w14:textId="77777777" w:rsidR="004433E6" w:rsidRPr="004433E6" w:rsidRDefault="004433E6" w:rsidP="004433E6">
                        <w:r w:rsidRPr="004433E6">
                          <w:t>Unchanged </w:t>
                        </w:r>
                      </w:p>
                    </w:tc>
                  </w:tr>
                  <w:tr w:rsidR="004433E6" w:rsidRPr="004433E6" w14:paraId="5D11962D" w14:textId="77777777"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39650CDB" w14:textId="77777777" w:rsidR="004433E6" w:rsidRPr="004433E6" w:rsidRDefault="004433E6" w:rsidP="004433E6">
                        <w:r w:rsidRPr="004433E6">
                          <w:t>Friday 1 January 2021 (New Year’s Day) </w:t>
                        </w:r>
                      </w:p>
                    </w:tc>
                    <w:tc>
                      <w:tcPr>
                        <w:tcW w:w="4680" w:type="dx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74AAF1F7" w14:textId="77777777" w:rsidR="004433E6" w:rsidRPr="004433E6" w:rsidRDefault="004433E6" w:rsidP="004433E6">
                        <w:r w:rsidRPr="004433E6">
                          <w:t>Saturday 2 January 2021 </w:t>
                        </w:r>
                      </w:p>
                    </w:tc>
                  </w:tr>
                </w:tbl>
                <w:p w14:paraId="06BB2986" w14:textId="77777777" w:rsidR="004433E6" w:rsidRPr="004433E6" w:rsidRDefault="004433E6" w:rsidP="004433E6">
                  <w:r w:rsidRPr="004433E6">
                    <w:t>To assist residents with their waste and recycling, households will be allowed to place excess polystyrene in a clear or white sack between Saturday 19 December and Friday 8 January on their refuse collection week only.</w:t>
                  </w:r>
                </w:p>
                <w:p w14:paraId="55349FBE" w14:textId="77777777" w:rsidR="004433E6" w:rsidRPr="004433E6" w:rsidRDefault="004433E6" w:rsidP="004433E6">
                  <w:r w:rsidRPr="004433E6">
                    <w:t>Excess polystyrene or other waste placed in black sacks will not be collected.</w:t>
                  </w:r>
                </w:p>
                <w:p w14:paraId="5EE1205A" w14:textId="77777777" w:rsidR="004433E6" w:rsidRPr="004433E6" w:rsidRDefault="004433E6" w:rsidP="004433E6">
                  <w:r w:rsidRPr="004433E6">
                    <w:t xml:space="preserve">Afton Marsh Recycling Centre, Freshwater will open as usual on its normal opening days and hours. </w:t>
                  </w:r>
                  <w:proofErr w:type="spellStart"/>
                  <w:r w:rsidRPr="004433E6">
                    <w:t>Lynnbottom</w:t>
                  </w:r>
                  <w:proofErr w:type="spellEnd"/>
                  <w:r w:rsidRPr="004433E6">
                    <w:t xml:space="preserve"> Recycling Centre, near Newport will be open as normal other than on Christmas Day when it will be closed. </w:t>
                  </w:r>
                  <w:r w:rsidRPr="004433E6">
                    <w:br/>
                  </w:r>
                  <w:r w:rsidRPr="004433E6">
                    <w:br/>
                    <w:t xml:space="preserve">Bulky waste collections will run as normal other than on Christmas Day and New Year's Day when they will be unavailable. </w:t>
                  </w:r>
                  <w:r w:rsidRPr="004433E6">
                    <w:br/>
                  </w:r>
                  <w:r w:rsidRPr="004433E6">
                    <w:br/>
                    <w:t>Natasha Dix, the council's waste and environment manager, said: "The Christmas period can mean more waste – but like the rest of the year we can still recycle most of it if we all put it in the right bins.</w:t>
                  </w:r>
                </w:p>
                <w:p w14:paraId="7DA2FED9" w14:textId="77777777" w:rsidR="004433E6" w:rsidRPr="004433E6" w:rsidRDefault="004433E6" w:rsidP="004433E6">
                  <w:r w:rsidRPr="004433E6">
                    <w:t>"You might not be sure where to put some of the seasonal things — maybe wrapping paper or bubble wrap — so check the council website for the definitive list.</w:t>
                  </w:r>
                </w:p>
                <w:p w14:paraId="7117C915" w14:textId="77777777" w:rsidR="004433E6" w:rsidRPr="004433E6" w:rsidRDefault="004433E6" w:rsidP="004433E6">
                  <w:r w:rsidRPr="004433E6">
                    <w:t>"Get your waste sorted and we can maintain the Island’s position as one of the leading counties for recycling across England — even at Christmas.”</w:t>
                  </w:r>
                  <w:r w:rsidRPr="004433E6">
                    <w:br/>
                  </w:r>
                  <w:r w:rsidRPr="004433E6">
                    <w:br/>
                    <w:t xml:space="preserve">More information on waste collections can be accessed at </w:t>
                  </w:r>
                  <w:hyperlink r:id="rId6" w:history="1">
                    <w:r w:rsidRPr="004433E6">
                      <w:rPr>
                        <w:rStyle w:val="Hyperlink"/>
                      </w:rPr>
                      <w:t>www.iwight.com/waste</w:t>
                    </w:r>
                  </w:hyperlink>
                  <w:r w:rsidRPr="004433E6">
                    <w:t>  </w:t>
                  </w:r>
                </w:p>
              </w:tc>
            </w:tr>
            <w:tr w:rsidR="004433E6" w:rsidRPr="004433E6" w14:paraId="0BDFD498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27FBBABB" w14:textId="77777777" w:rsidR="004433E6" w:rsidRPr="004433E6" w:rsidRDefault="004433E6" w:rsidP="004433E6">
                  <w:r w:rsidRPr="004433E6">
                    <w:lastRenderedPageBreak/>
                    <w:t>Contact Information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5"/>
                  </w:tblGrid>
                  <w:tr w:rsidR="004433E6" w:rsidRPr="004433E6" w14:paraId="0A4E8A8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F375F43" w14:textId="77777777" w:rsidR="004433E6" w:rsidRPr="004433E6" w:rsidRDefault="004433E6" w:rsidP="004433E6">
                        <w:r w:rsidRPr="004433E6">
                          <w:rPr>
                            <w:b/>
                            <w:bCs/>
                          </w:rPr>
                          <w:t>Martin Neville</w:t>
                        </w:r>
                      </w:p>
                    </w:tc>
                  </w:tr>
                  <w:tr w:rsidR="004433E6" w:rsidRPr="004433E6" w14:paraId="02B8A24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225E46C" w14:textId="77777777" w:rsidR="004433E6" w:rsidRPr="004433E6" w:rsidRDefault="004433E6" w:rsidP="004433E6"/>
                    </w:tc>
                  </w:tr>
                  <w:tr w:rsidR="004433E6" w:rsidRPr="004433E6" w14:paraId="1E738A9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035791A" w14:textId="77777777" w:rsidR="004433E6" w:rsidRPr="004433E6" w:rsidRDefault="004433E6" w:rsidP="004433E6">
                        <w:r w:rsidRPr="004433E6">
                          <w:t>Isle of Wight</w:t>
                        </w:r>
                      </w:p>
                    </w:tc>
                  </w:tr>
                  <w:tr w:rsidR="004433E6" w:rsidRPr="004433E6" w14:paraId="126BABC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199C01B" w14:textId="77777777" w:rsidR="004433E6" w:rsidRPr="004433E6" w:rsidRDefault="004433E6" w:rsidP="004433E6"/>
                    </w:tc>
                  </w:tr>
                  <w:tr w:rsidR="004433E6" w:rsidRPr="004433E6" w14:paraId="35EB503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7A8E879" w14:textId="77777777" w:rsidR="004433E6" w:rsidRPr="004433E6" w:rsidRDefault="004433E6" w:rsidP="004433E6"/>
                    </w:tc>
                  </w:tr>
                  <w:tr w:rsidR="004433E6" w:rsidRPr="004433E6" w14:paraId="6F770DE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F71E551" w14:textId="77777777" w:rsidR="004433E6" w:rsidRPr="004433E6" w:rsidRDefault="004433E6" w:rsidP="004433E6">
                        <w:hyperlink r:id="rId7" w:history="1">
                          <w:r w:rsidRPr="004433E6">
                            <w:rPr>
                              <w:rStyle w:val="Hyperlink"/>
                            </w:rPr>
                            <w:t>martin.neville@iow.gov.uk</w:t>
                          </w:r>
                        </w:hyperlink>
                      </w:p>
                    </w:tc>
                  </w:tr>
                  <w:tr w:rsidR="004433E6" w:rsidRPr="004433E6" w14:paraId="197963A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55CF03E" w14:textId="77777777" w:rsidR="004433E6" w:rsidRPr="004433E6" w:rsidRDefault="004433E6" w:rsidP="004433E6"/>
                    </w:tc>
                  </w:tr>
                </w:tbl>
                <w:p w14:paraId="60F0AB13" w14:textId="77777777" w:rsidR="004433E6" w:rsidRPr="004433E6" w:rsidRDefault="004433E6" w:rsidP="004433E6"/>
              </w:tc>
            </w:tr>
            <w:tr w:rsidR="004433E6" w:rsidRPr="004433E6" w14:paraId="30703D74" w14:textId="77777777">
              <w:trPr>
                <w:tblCellSpacing w:w="22" w:type="dxa"/>
                <w:jc w:val="center"/>
              </w:trPr>
              <w:tc>
                <w:tcPr>
                  <w:tcW w:w="5000" w:type="pct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tcMar>
                    <w:top w:w="6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EB72C8" w14:textId="77777777" w:rsidR="004433E6" w:rsidRPr="004433E6" w:rsidRDefault="004433E6" w:rsidP="004433E6">
                  <w:r w:rsidRPr="004433E6">
                    <w:t>This email has been sent to you by Isle of Wight Council because we believe it to be of interest to you and you have consented to us contacting you.</w:t>
                  </w:r>
                </w:p>
                <w:p w14:paraId="779F38E5" w14:textId="77777777" w:rsidR="004433E6" w:rsidRPr="004433E6" w:rsidRDefault="004433E6" w:rsidP="004433E6">
                  <w:r w:rsidRPr="004433E6">
                    <w:lastRenderedPageBreak/>
                    <w:t xml:space="preserve">Email not displaying correctly? </w:t>
                  </w:r>
                  <w:hyperlink r:id="rId8" w:history="1">
                    <w:r w:rsidRPr="004433E6">
                      <w:rPr>
                        <w:rStyle w:val="Hyperlink"/>
                      </w:rPr>
                      <w:t>View it in your browser</w:t>
                    </w:r>
                  </w:hyperlink>
                  <w:r w:rsidRPr="004433E6">
                    <w:t>.</w:t>
                  </w:r>
                </w:p>
                <w:p w14:paraId="3256AC04" w14:textId="77777777" w:rsidR="004433E6" w:rsidRPr="004433E6" w:rsidRDefault="004433E6" w:rsidP="004433E6">
                  <w:r w:rsidRPr="004433E6">
                    <w:t xml:space="preserve">If you'd rather not receive these emails, please use the following unsubscribe link: </w:t>
                  </w:r>
                  <w:hyperlink r:id="rId9" w:history="1">
                    <w:r w:rsidRPr="004433E6">
                      <w:rPr>
                        <w:rStyle w:val="Hyperlink"/>
                      </w:rPr>
                      <w:t>Unsubscribe</w:t>
                    </w:r>
                  </w:hyperlink>
                  <w:r w:rsidRPr="004433E6">
                    <w:t>.</w:t>
                  </w:r>
                </w:p>
                <w:p w14:paraId="4211F4FD" w14:textId="2FAE686E" w:rsidR="004433E6" w:rsidRPr="004433E6" w:rsidRDefault="004433E6" w:rsidP="004433E6">
                  <w:r w:rsidRPr="004433E6">
                    <w:br/>
                  </w:r>
                  <w:r w:rsidRPr="004433E6">
                    <w:drawing>
                      <wp:inline distT="0" distB="0" distL="0" distR="0" wp14:anchorId="4892AB0D" wp14:editId="1EE0C33B">
                        <wp:extent cx="533400" cy="523875"/>
                        <wp:effectExtent l="0" t="0" r="0" b="9525"/>
                        <wp:docPr id="3" name="Picture 3" descr="PRgloo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Rgloo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F05817" w14:textId="77777777" w:rsidR="004433E6" w:rsidRPr="004433E6" w:rsidRDefault="004433E6" w:rsidP="004433E6">
                  <w:r w:rsidRPr="004433E6">
                    <w:t xml:space="preserve">Powered by </w:t>
                  </w:r>
                  <w:proofErr w:type="spellStart"/>
                  <w:r w:rsidRPr="004433E6">
                    <w:t>PRgloo</w:t>
                  </w:r>
                  <w:proofErr w:type="spellEnd"/>
                  <w:r w:rsidRPr="004433E6">
                    <w:t xml:space="preserve"> Ltd. © 2020</w:t>
                  </w:r>
                </w:p>
              </w:tc>
            </w:tr>
          </w:tbl>
          <w:p w14:paraId="5CF24F79" w14:textId="77777777" w:rsidR="004433E6" w:rsidRPr="004433E6" w:rsidRDefault="004433E6" w:rsidP="004433E6"/>
        </w:tc>
      </w:tr>
    </w:tbl>
    <w:p w14:paraId="1720875C" w14:textId="59B55763" w:rsidR="00CB4D87" w:rsidRDefault="00CB4D87"/>
    <w:sectPr w:rsidR="00CB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E6"/>
    <w:rsid w:val="004433E6"/>
    <w:rsid w:val="00C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C891"/>
  <w15:chartTrackingRefBased/>
  <w15:docId w15:val="{DC42C8C4-3C3A-4B60-858E-B8E5C0F4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w-newsroom.prgloo.com/news/christmas-and-new-year-waste-and-recycling-collections-fo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//martin.neville@iow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wight.com/was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ow-newsroom.prgloo.com/news/christmas-and-new-year-waste-and-recycling-collections-for-2020" TargetMode="External"/><Relationship Id="rId10" Type="http://schemas.openxmlformats.org/officeDocument/2006/relationships/image" Target="http://cdn.prgloo.com/c/i/prgloo.png" TargetMode="External"/><Relationship Id="rId4" Type="http://schemas.openxmlformats.org/officeDocument/2006/relationships/image" Target="http://cdn.prgloo.com/web/IOW/IOWcouncil.png" TargetMode="External"/><Relationship Id="rId9" Type="http://schemas.openxmlformats.org/officeDocument/2006/relationships/hyperlink" Target="https://iow-newsroom.prgloo.com/unsubscribe/?a=5d398335ec4f42166010c42c&amp;b=5809cfbfbcae420b0410f694&amp;c=martin.neville%40i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Gilbey</dc:creator>
  <cp:keywords/>
  <dc:description/>
  <cp:lastModifiedBy>Jonathan Gilbey</cp:lastModifiedBy>
  <cp:revision>1</cp:revision>
  <dcterms:created xsi:type="dcterms:W3CDTF">2020-12-07T11:05:00Z</dcterms:created>
  <dcterms:modified xsi:type="dcterms:W3CDTF">2020-12-07T11:07:00Z</dcterms:modified>
</cp:coreProperties>
</file>